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98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仿宋_GB2312"/>
          <w:sz w:val="44"/>
          <w:szCs w:val="44"/>
          <w:lang w:val="en-US" w:eastAsia="zh-CN"/>
        </w:rPr>
      </w:pP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rPr>
        <w:t>关于进一步加强城市</w:t>
      </w:r>
      <w:r>
        <w:rPr>
          <w:rFonts w:hint="eastAsia" w:ascii="宋体" w:hAnsi="宋体" w:eastAsia="方正小标宋简体" w:cs="仿宋_GB2312"/>
          <w:sz w:val="44"/>
          <w:szCs w:val="44"/>
          <w:lang w:eastAsia="zh-CN"/>
        </w:rPr>
        <w:t>开挖施工</w:t>
      </w:r>
      <w:r>
        <w:rPr>
          <w:rFonts w:hint="eastAsia" w:ascii="宋体" w:hAnsi="宋体" w:eastAsia="方正小标宋简体" w:cs="仿宋_GB2312"/>
          <w:sz w:val="44"/>
          <w:szCs w:val="44"/>
        </w:rPr>
        <w:t>管理</w:t>
      </w:r>
      <w:r>
        <w:rPr>
          <w:rFonts w:hint="eastAsia" w:ascii="宋体" w:hAnsi="宋体" w:eastAsia="方正小标宋简体" w:cs="仿宋_GB2312"/>
          <w:sz w:val="44"/>
          <w:szCs w:val="44"/>
          <w:lang w:eastAsia="zh-CN"/>
        </w:rPr>
        <w:t>实施意见</w:t>
      </w:r>
      <w:r>
        <w:rPr>
          <w:rFonts w:hint="eastAsia" w:ascii="宋体" w:hAnsi="宋体" w:eastAsia="方正小标宋简体" w:cs="仿宋_GB2312"/>
          <w:sz w:val="44"/>
          <w:szCs w:val="44"/>
        </w:rPr>
        <w:t>的通知</w:t>
      </w: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lang w:val="en-US" w:eastAsia="zh-CN"/>
        </w:rPr>
        <w:t>讨论稿</w:t>
      </w:r>
      <w:r>
        <w:rPr>
          <w:rFonts w:hint="eastAsia" w:ascii="宋体" w:hAnsi="宋体" w:eastAsia="方正小标宋简体" w:cs="仿宋_GB2312"/>
          <w:sz w:val="44"/>
          <w:szCs w:val="44"/>
          <w:lang w:eastAsia="zh-CN"/>
        </w:rPr>
        <w:t>）》</w:t>
      </w:r>
      <w:r>
        <w:rPr>
          <w:rFonts w:hint="eastAsia" w:ascii="宋体" w:hAnsi="宋体" w:eastAsia="方正小标宋简体" w:cs="仿宋_GB2312"/>
          <w:sz w:val="44"/>
          <w:szCs w:val="44"/>
          <w:lang w:val="en-US" w:eastAsia="zh-CN"/>
        </w:rPr>
        <w:t>起草说明</w:t>
      </w:r>
    </w:p>
    <w:p w14:paraId="0915FBBF">
      <w:pPr>
        <w:pStyle w:val="3"/>
        <w:keepNext w:val="0"/>
        <w:keepLines w:val="0"/>
        <w:pageBreakBefore w:val="0"/>
        <w:widowControl w:val="0"/>
        <w:kinsoku/>
        <w:wordWrap/>
        <w:overflowPunct/>
        <w:topLinePunct w:val="0"/>
        <w:autoSpaceDE/>
        <w:autoSpaceDN/>
        <w:bidi w:val="0"/>
        <w:adjustRightInd/>
        <w:snapToGrid/>
        <w:spacing w:line="600" w:lineRule="exact"/>
        <w:ind w:left="210" w:leftChars="100" w:firstLine="0" w:firstLineChars="0"/>
        <w:jc w:val="center"/>
        <w:textAlignment w:val="auto"/>
        <w:rPr>
          <w:rFonts w:hint="eastAsia" w:ascii="宋体" w:hAnsi="宋体" w:eastAsia="楷体" w:cs="楷体"/>
          <w:b w:val="0"/>
          <w:bCs w:val="0"/>
          <w:color w:val="auto"/>
          <w:sz w:val="32"/>
          <w:szCs w:val="32"/>
          <w:u w:val="none" w:color="auto"/>
          <w:lang w:val="en-US" w:eastAsia="zh-CN"/>
        </w:rPr>
      </w:pPr>
      <w:r>
        <w:rPr>
          <w:rFonts w:hint="eastAsia" w:ascii="宋体" w:hAnsi="宋体" w:eastAsia="楷体" w:cs="楷体"/>
          <w:b w:val="0"/>
          <w:bCs w:val="0"/>
          <w:color w:val="auto"/>
          <w:sz w:val="32"/>
          <w:szCs w:val="32"/>
          <w:u w:val="none" w:color="auto"/>
          <w:lang w:val="en-US" w:eastAsia="zh-CN"/>
        </w:rPr>
        <w:t>示范区住房和城乡建设局</w:t>
      </w:r>
    </w:p>
    <w:p w14:paraId="3736865F">
      <w:pPr>
        <w:pStyle w:val="3"/>
        <w:keepNext w:val="0"/>
        <w:keepLines w:val="0"/>
        <w:pageBreakBefore w:val="0"/>
        <w:widowControl w:val="0"/>
        <w:kinsoku/>
        <w:wordWrap/>
        <w:overflowPunct/>
        <w:topLinePunct w:val="0"/>
        <w:autoSpaceDE/>
        <w:autoSpaceDN/>
        <w:bidi w:val="0"/>
        <w:adjustRightInd/>
        <w:snapToGrid/>
        <w:spacing w:line="600" w:lineRule="exact"/>
        <w:ind w:left="210" w:leftChars="100" w:firstLine="0" w:firstLineChars="0"/>
        <w:jc w:val="center"/>
        <w:textAlignment w:val="auto"/>
        <w:rPr>
          <w:rFonts w:hint="eastAsia" w:ascii="宋体" w:hAnsi="宋体" w:eastAsia="楷体" w:cs="楷体"/>
          <w:b w:val="0"/>
          <w:bCs w:val="0"/>
          <w:color w:val="auto"/>
          <w:sz w:val="32"/>
          <w:szCs w:val="32"/>
          <w:u w:val="none" w:color="auto"/>
          <w:lang w:val="en-US" w:eastAsia="zh-CN"/>
        </w:rPr>
      </w:pPr>
      <w:r>
        <w:rPr>
          <w:rFonts w:hint="eastAsia" w:ascii="宋体" w:hAnsi="宋体" w:eastAsia="楷体" w:cs="楷体"/>
          <w:b w:val="0"/>
          <w:bCs w:val="0"/>
          <w:color w:val="auto"/>
          <w:sz w:val="32"/>
          <w:szCs w:val="32"/>
          <w:u w:val="none" w:color="auto"/>
          <w:lang w:val="en-US" w:eastAsia="zh-CN"/>
        </w:rPr>
        <w:t>（2024年11月）</w:t>
      </w:r>
    </w:p>
    <w:p w14:paraId="452D2A3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sz w:val="32"/>
          <w:szCs w:val="32"/>
        </w:rPr>
      </w:pPr>
    </w:p>
    <w:p w14:paraId="560B37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一、起草背景</w:t>
      </w:r>
    </w:p>
    <w:p w14:paraId="0D8A4D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为</w:t>
      </w:r>
      <w:r>
        <w:rPr>
          <w:rFonts w:hint="eastAsia" w:ascii="宋体" w:hAnsi="宋体" w:eastAsia="仿宋_GB2312" w:cs="仿宋_GB2312"/>
          <w:sz w:val="32"/>
          <w:szCs w:val="32"/>
          <w:lang w:eastAsia="zh-CN"/>
        </w:rPr>
        <w:t>进一步</w:t>
      </w:r>
      <w:r>
        <w:rPr>
          <w:rFonts w:hint="eastAsia" w:ascii="宋体" w:hAnsi="宋体" w:eastAsia="仿宋_GB2312" w:cs="仿宋_GB2312"/>
          <w:sz w:val="32"/>
          <w:szCs w:val="32"/>
        </w:rPr>
        <w:t>加强城市</w:t>
      </w:r>
      <w:r>
        <w:rPr>
          <w:rFonts w:hint="eastAsia" w:ascii="宋体" w:hAnsi="宋体" w:eastAsia="仿宋_GB2312" w:cs="仿宋_GB2312"/>
          <w:sz w:val="32"/>
          <w:szCs w:val="32"/>
          <w:lang w:val="en-US" w:eastAsia="zh-CN"/>
        </w:rPr>
        <w:t>道路开挖施工管理，彻底解决“马路拉链”问题，保障城市道路完好，有效整治占道施工扰民、反复开挖等行为，改善群众出行环境</w:t>
      </w:r>
      <w:r>
        <w:rPr>
          <w:rFonts w:hint="eastAsia" w:ascii="宋体" w:hAnsi="宋体" w:eastAsia="仿宋_GB2312" w:cs="仿宋_GB2312"/>
          <w:sz w:val="32"/>
          <w:szCs w:val="32"/>
          <w:lang w:eastAsia="zh-CN"/>
        </w:rPr>
        <w:t>，我局根据</w:t>
      </w:r>
      <w:r>
        <w:rPr>
          <w:rFonts w:hint="eastAsia" w:ascii="宋体" w:hAnsi="宋体" w:eastAsia="仿宋_GB2312" w:cs="仿宋_GB2312"/>
          <w:sz w:val="32"/>
          <w:szCs w:val="32"/>
          <w:lang w:val="en-US" w:eastAsia="zh-CN"/>
        </w:rPr>
        <w:t>相关规定，制定本实施意见。</w:t>
      </w:r>
    </w:p>
    <w:p w14:paraId="3832E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二、制定依据</w:t>
      </w:r>
    </w:p>
    <w:p w14:paraId="58C43C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1.《中华人民共和国道路交通安全法》（中华人民共和国主席令第11号）</w:t>
      </w:r>
    </w:p>
    <w:p w14:paraId="428881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2.《城市道路管理条例》（中华人民共和国国务院令第710号）</w:t>
      </w:r>
    </w:p>
    <w:p w14:paraId="4C9602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3.《城镇道路养护技术规范》（中华人民共和国住房和城乡建设部公告第1363号）</w:t>
      </w:r>
    </w:p>
    <w:p w14:paraId="491C5C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4.《济源示范区建筑工程安全文明标准化示范工地管理办法》（济管建〔2023〕43号）</w:t>
      </w:r>
    </w:p>
    <w:p w14:paraId="04A921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三、主要内容</w:t>
      </w:r>
    </w:p>
    <w:p w14:paraId="4C7BF94E">
      <w:pPr>
        <w:pStyle w:val="8"/>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rPr>
          <w:rFonts w:hint="eastAsia" w:ascii="宋体" w:hAnsi="宋体"/>
          <w:spacing w:val="0"/>
          <w:w w:val="100"/>
          <w:sz w:val="32"/>
          <w:szCs w:val="32"/>
          <w:lang w:val="en-US" w:eastAsia="zh-CN"/>
        </w:rPr>
      </w:pPr>
      <w:r>
        <w:rPr>
          <w:rFonts w:hint="eastAsia" w:ascii="宋体" w:hAnsi="宋体"/>
          <w:spacing w:val="0"/>
          <w:w w:val="100"/>
          <w:sz w:val="32"/>
          <w:szCs w:val="32"/>
          <w:lang w:val="en-US" w:eastAsia="zh-CN"/>
        </w:rPr>
        <w:t>文件共分6个部分。</w:t>
      </w:r>
    </w:p>
    <w:p w14:paraId="3C166718">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eastAsia="仿宋_GB2312" w:cs="仿宋_GB2312"/>
          <w:color w:val="auto"/>
          <w:w w:val="100"/>
          <w:kern w:val="0"/>
          <w:sz w:val="32"/>
          <w:szCs w:val="32"/>
          <w:lang w:val="en-US" w:eastAsia="zh-CN" w:bidi="ar"/>
        </w:rPr>
      </w:pPr>
      <w:r>
        <w:rPr>
          <w:rFonts w:hint="eastAsia" w:ascii="宋体" w:hAnsi="宋体" w:eastAsia="楷体_GB2312" w:cs="楷体_GB2312"/>
          <w:b/>
          <w:bCs/>
          <w:i w:val="0"/>
          <w:snapToGrid/>
          <w:spacing w:val="0"/>
          <w:w w:val="100"/>
          <w:kern w:val="2"/>
          <w:sz w:val="32"/>
          <w:szCs w:val="32"/>
          <w:shd w:val="clear" w:color="auto" w:fill="FFFFFF"/>
          <w:lang w:val="en-US" w:eastAsia="zh-CN" w:bidi="ar-SA"/>
        </w:rPr>
        <w:t>第一部分为实施原则。</w:t>
      </w:r>
      <w:r>
        <w:rPr>
          <w:rFonts w:hint="eastAsia" w:ascii="宋体" w:hAnsi="宋体" w:eastAsia="仿宋_GB2312" w:cs="仿宋_GB2312"/>
          <w:color w:val="auto"/>
          <w:w w:val="100"/>
          <w:kern w:val="0"/>
          <w:sz w:val="32"/>
          <w:szCs w:val="32"/>
          <w:lang w:val="en-US" w:eastAsia="zh-CN" w:bidi="ar"/>
        </w:rPr>
        <w:t>明确应坚持统筹安排、规范审批，加强施工现场管理和监督，着力构建城市道路施工管理机制，提升城市形象。</w:t>
      </w:r>
    </w:p>
    <w:p w14:paraId="5F24FA86">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3" w:firstLineChars="200"/>
        <w:jc w:val="both"/>
        <w:textAlignment w:val="auto"/>
        <w:rPr>
          <w:rFonts w:hint="eastAsia" w:ascii="宋体" w:hAnsi="宋体" w:eastAsia="仿宋_GB2312" w:cs="仿宋_GB2312"/>
          <w:b w:val="0"/>
          <w:bCs w:val="0"/>
          <w:i w:val="0"/>
          <w:snapToGrid/>
          <w:spacing w:val="0"/>
          <w:w w:val="100"/>
          <w:kern w:val="2"/>
          <w:sz w:val="32"/>
          <w:szCs w:val="32"/>
          <w:shd w:val="clear" w:color="auto" w:fill="FFFFFF"/>
          <w:lang w:val="en-US" w:eastAsia="zh-CN" w:bidi="ar-SA"/>
        </w:rPr>
      </w:pPr>
      <w:r>
        <w:rPr>
          <w:rFonts w:hint="eastAsia" w:ascii="宋体" w:hAnsi="宋体" w:eastAsia="楷体_GB2312" w:cs="楷体_GB2312"/>
          <w:b/>
          <w:bCs/>
          <w:i w:val="0"/>
          <w:snapToGrid/>
          <w:spacing w:val="0"/>
          <w:w w:val="100"/>
          <w:kern w:val="2"/>
          <w:sz w:val="32"/>
          <w:szCs w:val="32"/>
          <w:shd w:val="clear" w:color="auto" w:fill="FFFFFF"/>
          <w:lang w:val="en-US" w:eastAsia="zh-CN" w:bidi="ar-SA"/>
        </w:rPr>
        <w:t>第二部分为实施范围。</w:t>
      </w:r>
      <w:r>
        <w:rPr>
          <w:rFonts w:hint="eastAsia" w:ascii="宋体" w:hAnsi="宋体" w:eastAsia="仿宋_GB2312" w:cs="仿宋_GB2312"/>
          <w:color w:val="auto"/>
          <w:w w:val="100"/>
          <w:sz w:val="32"/>
          <w:szCs w:val="32"/>
          <w:lang w:val="en-US" w:eastAsia="zh-CN"/>
        </w:rPr>
        <w:t>本实施意见适用于主城区城市道路开挖施工事项，并明确城市道路挖掘定义；规定新建、改建、扩建等城区道路交付或大修后3年内或全市重大活动期间、已建地下综合管网区域、存在未处理的违规违章记录的单位等情形原则上不得挖掘城市道路；特殊情况需经住建局党组会研究，示范区管委会批准等流程可由市政道路管护单位施工；结合年度建设项目，</w:t>
      </w:r>
      <w:r>
        <w:rPr>
          <w:rFonts w:hint="eastAsia" w:ascii="宋体" w:hAnsi="宋体" w:eastAsia="仿宋_GB2312" w:cs="仿宋_GB2312"/>
          <w:b w:val="0"/>
          <w:bCs w:val="0"/>
          <w:i w:val="0"/>
          <w:snapToGrid/>
          <w:spacing w:val="0"/>
          <w:w w:val="100"/>
          <w:kern w:val="2"/>
          <w:sz w:val="32"/>
          <w:szCs w:val="32"/>
          <w:shd w:val="clear" w:color="auto" w:fill="FFFFFF"/>
          <w:lang w:val="en-US" w:eastAsia="zh-CN" w:bidi="ar-SA"/>
        </w:rPr>
        <w:t>敷设于新建、改建、扩建</w:t>
      </w:r>
      <w:r>
        <w:rPr>
          <w:rFonts w:hint="eastAsia" w:ascii="宋体" w:hAnsi="宋体" w:eastAsia="仿宋_GB2312" w:cs="仿宋_GB2312"/>
          <w:color w:val="auto"/>
          <w:w w:val="100"/>
          <w:sz w:val="32"/>
          <w:szCs w:val="32"/>
          <w:lang w:val="en-US" w:eastAsia="zh-CN"/>
        </w:rPr>
        <w:t>新建等道地下管线工程应统一规划安排，各部门全程参与，道路同步设计建设，明确开挖路面路径达100米以上时涉及联合开挖及后续申请限制。</w:t>
      </w:r>
    </w:p>
    <w:p w14:paraId="05834CF0">
      <w:pPr>
        <w:pStyle w:val="8"/>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3" w:firstLineChars="200"/>
        <w:rPr>
          <w:rFonts w:hint="eastAsia" w:ascii="宋体" w:hAnsi="宋体" w:cs="Times New Roman"/>
          <w:spacing w:val="0"/>
          <w:w w:val="100"/>
          <w:sz w:val="32"/>
          <w:szCs w:val="32"/>
          <w:lang w:val="en-US" w:eastAsia="zh-CN"/>
        </w:rPr>
      </w:pPr>
      <w:r>
        <w:rPr>
          <w:rFonts w:hint="default" w:ascii="宋体" w:hAnsi="宋体" w:eastAsia="楷体_GB2312" w:cs="楷体_GB2312"/>
          <w:b/>
          <w:bCs/>
          <w:i w:val="0"/>
          <w:snapToGrid/>
          <w:spacing w:val="0"/>
          <w:w w:val="100"/>
          <w:kern w:val="2"/>
          <w:sz w:val="32"/>
          <w:szCs w:val="32"/>
          <w:shd w:val="clear" w:color="auto" w:fill="FFFFFF"/>
          <w:lang w:val="en-US" w:eastAsia="zh-CN" w:bidi="ar-SA"/>
        </w:rPr>
        <w:t>第</w:t>
      </w:r>
      <w:r>
        <w:rPr>
          <w:rFonts w:hint="eastAsia" w:ascii="宋体" w:hAnsi="宋体" w:eastAsia="楷体_GB2312" w:cs="楷体_GB2312"/>
          <w:b/>
          <w:bCs/>
          <w:i w:val="0"/>
          <w:snapToGrid/>
          <w:spacing w:val="0"/>
          <w:w w:val="100"/>
          <w:kern w:val="2"/>
          <w:sz w:val="32"/>
          <w:szCs w:val="32"/>
          <w:shd w:val="clear" w:color="auto" w:fill="FFFFFF"/>
          <w:lang w:val="en-US" w:eastAsia="zh-CN" w:bidi="ar-SA"/>
        </w:rPr>
        <w:t>三部分</w:t>
      </w:r>
      <w:r>
        <w:rPr>
          <w:rFonts w:hint="default" w:ascii="宋体" w:hAnsi="宋体" w:eastAsia="楷体_GB2312" w:cs="楷体_GB2312"/>
          <w:b/>
          <w:bCs/>
          <w:i w:val="0"/>
          <w:snapToGrid/>
          <w:spacing w:val="0"/>
          <w:w w:val="100"/>
          <w:kern w:val="2"/>
          <w:sz w:val="32"/>
          <w:szCs w:val="32"/>
          <w:shd w:val="clear" w:color="auto" w:fill="FFFFFF"/>
          <w:lang w:val="en-US" w:eastAsia="zh-CN" w:bidi="ar-SA"/>
        </w:rPr>
        <w:t>为</w:t>
      </w:r>
      <w:r>
        <w:rPr>
          <w:rFonts w:hint="eastAsia" w:ascii="宋体" w:hAnsi="宋体" w:eastAsia="楷体_GB2312" w:cs="楷体_GB2312"/>
          <w:b/>
          <w:bCs/>
          <w:i w:val="0"/>
          <w:snapToGrid/>
          <w:spacing w:val="0"/>
          <w:w w:val="100"/>
          <w:kern w:val="2"/>
          <w:sz w:val="32"/>
          <w:szCs w:val="32"/>
          <w:shd w:val="clear" w:color="auto" w:fill="FFFFFF"/>
          <w:lang w:val="en-US" w:eastAsia="zh-CN" w:bidi="ar-SA"/>
        </w:rPr>
        <w:t>报批手续。</w:t>
      </w:r>
      <w:r>
        <w:rPr>
          <w:rFonts w:hint="eastAsia" w:ascii="宋体" w:hAnsi="宋体" w:cs="Times New Roman"/>
          <w:spacing w:val="0"/>
          <w:w w:val="100"/>
          <w:sz w:val="32"/>
          <w:szCs w:val="32"/>
          <w:lang w:val="en-US" w:eastAsia="zh-CN"/>
        </w:rPr>
        <w:t>明确挖掘影响城市道路功能的各类道路应办临时占用挖掘审批手续，涉及占用绿地等还需办相应审批；挖掘建设单位要组织施工单位将地下管线保护措施入专项施工方案并论证，地线管线类顶管施工需第三方安全评价报告；明确常规审批需要的审批材料及办理流程，以及需签订相关合同；明确特殊审批包括占用不同道路、重点敏感路段、紧急抢修、应由道路建设主体单位统一报批、需列入年度道路修复计划等多种情形的不同要求；经批准项目变更施工方案需提前报原审批单位批准，擅自施工移交执法单位处置。</w:t>
      </w:r>
    </w:p>
    <w:p w14:paraId="455A1E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宋体" w:hAnsi="宋体" w:eastAsia="仿宋_GB2312" w:cs="仿宋_GB2312"/>
          <w:color w:val="auto"/>
          <w:w w:val="100"/>
          <w:sz w:val="32"/>
          <w:szCs w:val="32"/>
          <w:lang w:val="en-US" w:eastAsia="zh-CN"/>
        </w:rPr>
      </w:pPr>
      <w:r>
        <w:rPr>
          <w:rFonts w:hint="default" w:ascii="宋体" w:hAnsi="宋体" w:eastAsia="楷体_GB2312" w:cs="楷体_GB2312"/>
          <w:b/>
          <w:bCs/>
          <w:i w:val="0"/>
          <w:snapToGrid/>
          <w:spacing w:val="0"/>
          <w:w w:val="100"/>
          <w:kern w:val="2"/>
          <w:sz w:val="32"/>
          <w:szCs w:val="32"/>
          <w:shd w:val="clear" w:color="auto" w:fill="FFFFFF"/>
          <w:lang w:val="en-US" w:eastAsia="zh-CN" w:bidi="ar-SA"/>
        </w:rPr>
        <w:t>第</w:t>
      </w:r>
      <w:r>
        <w:rPr>
          <w:rFonts w:hint="eastAsia" w:ascii="宋体" w:hAnsi="宋体" w:eastAsia="楷体_GB2312" w:cs="楷体_GB2312"/>
          <w:b/>
          <w:bCs/>
          <w:i w:val="0"/>
          <w:snapToGrid/>
          <w:spacing w:val="0"/>
          <w:w w:val="100"/>
          <w:kern w:val="2"/>
          <w:sz w:val="32"/>
          <w:szCs w:val="32"/>
          <w:shd w:val="clear" w:color="auto" w:fill="FFFFFF"/>
          <w:lang w:val="en-US" w:eastAsia="zh-CN" w:bidi="ar-SA"/>
        </w:rPr>
        <w:t>四部分</w:t>
      </w:r>
      <w:r>
        <w:rPr>
          <w:rFonts w:hint="default" w:ascii="宋体" w:hAnsi="宋体" w:eastAsia="楷体_GB2312" w:cs="楷体_GB2312"/>
          <w:b/>
          <w:bCs/>
          <w:i w:val="0"/>
          <w:snapToGrid/>
          <w:spacing w:val="0"/>
          <w:w w:val="100"/>
          <w:kern w:val="2"/>
          <w:sz w:val="32"/>
          <w:szCs w:val="32"/>
          <w:shd w:val="clear" w:color="auto" w:fill="FFFFFF"/>
          <w:lang w:val="en-US" w:eastAsia="zh-CN" w:bidi="ar-SA"/>
        </w:rPr>
        <w:t>为跟踪管理</w:t>
      </w:r>
      <w:r>
        <w:rPr>
          <w:rFonts w:hint="eastAsia" w:ascii="宋体" w:hAnsi="宋体" w:eastAsia="楷体_GB2312" w:cs="楷体_GB2312"/>
          <w:b/>
          <w:bCs/>
          <w:i w:val="0"/>
          <w:snapToGrid/>
          <w:spacing w:val="0"/>
          <w:w w:val="100"/>
          <w:kern w:val="2"/>
          <w:sz w:val="32"/>
          <w:szCs w:val="32"/>
          <w:shd w:val="clear" w:color="auto" w:fill="FFFFFF"/>
          <w:lang w:val="en-US" w:eastAsia="zh-CN" w:bidi="ar-SA"/>
        </w:rPr>
        <w:t>。</w:t>
      </w:r>
      <w:r>
        <w:rPr>
          <w:rFonts w:hint="eastAsia" w:ascii="宋体" w:hAnsi="宋体" w:eastAsia="仿宋_GB2312" w:cs="仿宋_GB2312"/>
          <w:color w:val="auto"/>
          <w:w w:val="100"/>
          <w:sz w:val="32"/>
          <w:szCs w:val="32"/>
          <w:lang w:val="en-US" w:eastAsia="zh-CN"/>
        </w:rPr>
        <w:t>需强化全过程监督管理审批许可下达后需告知多行业主管部门介入监督形成闭环管理；强化管线权属单位、城市公共空间、道路开挖施工现场管理，包括明确各方责任、安全文明施工、严控施工工期，且道路开挖回填修复要符合相关标准要求，如回填材料规定、掘路回填特殊情况处理、直埋线缆沟槽回填、横跨城市主干道挖掘及道路开挖修复质量等多方面规范。</w:t>
      </w:r>
    </w:p>
    <w:p w14:paraId="4F44088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eastAsia" w:ascii="宋体" w:hAnsi="宋体" w:eastAsia="仿宋_GB2312" w:cs="仿宋_GB2312"/>
          <w:color w:val="auto"/>
          <w:w w:val="100"/>
          <w:sz w:val="32"/>
          <w:szCs w:val="32"/>
          <w:lang w:val="en-US" w:eastAsia="zh-CN"/>
        </w:rPr>
      </w:pPr>
      <w:r>
        <w:rPr>
          <w:rFonts w:hint="eastAsia" w:ascii="宋体" w:hAnsi="宋体" w:eastAsia="仿宋_GB2312" w:cs="仿宋_GB2312"/>
          <w:b/>
          <w:bCs/>
          <w:i w:val="0"/>
          <w:snapToGrid/>
          <w:spacing w:val="0"/>
          <w:w w:val="100"/>
          <w:kern w:val="2"/>
          <w:sz w:val="32"/>
          <w:szCs w:val="32"/>
          <w:shd w:val="clear" w:color="auto" w:fill="FFFFFF"/>
          <w:lang w:val="en-US" w:eastAsia="zh-CN" w:bidi="ar-SA"/>
        </w:rPr>
        <w:t>第五部分为执法与监督。</w:t>
      </w:r>
      <w:r>
        <w:rPr>
          <w:rFonts w:hint="eastAsia" w:ascii="宋体" w:hAnsi="宋体" w:eastAsia="仿宋_GB2312" w:cs="仿宋_GB2312"/>
          <w:color w:val="auto"/>
          <w:w w:val="100"/>
          <w:sz w:val="32"/>
          <w:szCs w:val="32"/>
          <w:lang w:val="en-US" w:eastAsia="zh-CN"/>
        </w:rPr>
        <w:t>城市综合执法支队加大掘路施工现场巡查监督，对违规掘路行为责令停止施工等并处罚；住建局对文明施工管理不到位的施工、监理单位给予不良信用记录列入黑榜并公示及限制审批项目；住建局协同管线单位加强道路巡查监管建立机制，联合项目监理单位严把道路开挖回填修复标准进行全程监督，对管线权属单位负责工程未按时修复路面等依规处理。</w:t>
      </w:r>
    </w:p>
    <w:p w14:paraId="58041CF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left"/>
        <w:textAlignment w:val="auto"/>
        <w:rPr>
          <w:rFonts w:hint="eastAsia" w:ascii="宋体" w:hAnsi="宋体" w:eastAsia="仿宋_GB2312" w:cs="仿宋_GB2312"/>
          <w:b/>
          <w:bCs/>
          <w:i w:val="0"/>
          <w:snapToGrid/>
          <w:color w:val="auto"/>
          <w:spacing w:val="0"/>
          <w:w w:val="100"/>
          <w:sz w:val="32"/>
          <w:szCs w:val="32"/>
          <w:shd w:val="clear" w:color="auto" w:fill="FFFFFF"/>
          <w:lang w:val="en-US" w:eastAsia="zh-CN"/>
        </w:rPr>
      </w:pPr>
      <w:r>
        <w:rPr>
          <w:rFonts w:hint="eastAsia" w:ascii="宋体" w:hAnsi="宋体" w:eastAsia="仿宋_GB2312" w:cs="仿宋_GB2312"/>
          <w:b/>
          <w:bCs/>
          <w:i w:val="0"/>
          <w:snapToGrid/>
          <w:spacing w:val="0"/>
          <w:w w:val="100"/>
          <w:kern w:val="2"/>
          <w:sz w:val="32"/>
          <w:szCs w:val="32"/>
          <w:shd w:val="clear" w:color="auto" w:fill="FFFFFF"/>
          <w:lang w:val="en-US" w:eastAsia="zh-CN" w:bidi="ar-SA"/>
        </w:rPr>
        <w:t>第六部分为其他。</w:t>
      </w:r>
      <w:r>
        <w:rPr>
          <w:rFonts w:hint="eastAsia" w:ascii="宋体" w:hAnsi="宋体" w:eastAsia="仿宋_GB2312" w:cs="仿宋_GB2312"/>
          <w:color w:val="auto"/>
          <w:spacing w:val="0"/>
          <w:w w:val="100"/>
          <w:sz w:val="32"/>
          <w:szCs w:val="32"/>
          <w:lang w:val="en-US" w:eastAsia="zh-CN"/>
        </w:rPr>
        <w:t>明确本意见执行的相关情况。</w:t>
      </w:r>
    </w:p>
    <w:p w14:paraId="204E73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kern w:val="2"/>
          <w:sz w:val="32"/>
          <w:szCs w:val="32"/>
          <w:lang w:val="en-US" w:eastAsia="zh-CN" w:bidi="ar-SA"/>
        </w:rPr>
        <w:t>四、</w:t>
      </w:r>
      <w:r>
        <w:rPr>
          <w:rFonts w:hint="eastAsia" w:ascii="宋体" w:hAnsi="宋体" w:eastAsia="黑体" w:cs="黑体"/>
          <w:sz w:val="32"/>
          <w:szCs w:val="32"/>
          <w:lang w:val="en-US" w:eastAsia="zh-CN"/>
        </w:rPr>
        <w:t>起草过程</w:t>
      </w:r>
    </w:p>
    <w:p w14:paraId="69E2B0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为认真做好《通知》的起草工作，我局深入学习道路开挖施工管理的相关政策文件精神，借鉴其他先行地市的地方法规、规章或规范性文件的基础上，结合济源实际，起草了《关于进一步加强城市开挖施工管理实施意见的通知（讨论稿）》，并征求高新技术开发区、济水街道办事处、天坛街道办事处、北海街道办事处、沁园街道办事处、玉泉街道办事处、城投公司、水投公司、交投公司、铁塔公司、电信公司、移动公司、联通公司、国电公司等13个相关部门的意见，共提出意见1条，</w:t>
      </w:r>
      <w:bookmarkStart w:id="0" w:name="_GoBack"/>
      <w:bookmarkEnd w:id="0"/>
      <w:r>
        <w:rPr>
          <w:rFonts w:hint="eastAsia" w:ascii="宋体" w:hAnsi="宋体" w:eastAsia="仿宋_GB2312" w:cs="仿宋_GB2312"/>
          <w:sz w:val="32"/>
          <w:szCs w:val="32"/>
          <w:lang w:val="en-US" w:eastAsia="zh-CN"/>
        </w:rPr>
        <w:t>采纳意见1条。</w:t>
      </w:r>
    </w:p>
    <w:p w14:paraId="1C5B1334">
      <w:pPr>
        <w:pStyle w:val="2"/>
        <w:keepNext w:val="0"/>
        <w:keepLines w:val="0"/>
        <w:pageBreakBefore w:val="0"/>
        <w:numPr>
          <w:ilvl w:val="0"/>
          <w:numId w:val="0"/>
        </w:numPr>
        <w:kinsoku/>
        <w:wordWrap/>
        <w:overflowPunct/>
        <w:topLinePunct w:val="0"/>
        <w:autoSpaceDE/>
        <w:autoSpaceDN/>
        <w:bidi w:val="0"/>
        <w:adjustRightInd/>
        <w:snapToGrid/>
        <w:spacing w:line="600" w:lineRule="exact"/>
        <w:rPr>
          <w:rFonts w:hint="eastAsia" w:ascii="宋体" w:hAnsi="宋体"/>
          <w:lang w:val="en-US" w:eastAsia="zh-CN"/>
        </w:rPr>
      </w:pPr>
    </w:p>
    <w:sectPr>
      <w:footerReference r:id="rId3" w:type="default"/>
      <w:pgSz w:w="11906" w:h="16838"/>
      <w:pgMar w:top="181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48E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8DF3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98DF3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WIxYWNiZDU0NWViY2I2ZDU0Njg2NTY5MjViYmMifQ=="/>
  </w:docVars>
  <w:rsids>
    <w:rsidRoot w:val="3EC0362B"/>
    <w:rsid w:val="02BE3A7E"/>
    <w:rsid w:val="0574368F"/>
    <w:rsid w:val="06532730"/>
    <w:rsid w:val="0A2543E3"/>
    <w:rsid w:val="18AB08FD"/>
    <w:rsid w:val="1ACC365B"/>
    <w:rsid w:val="1B1F1DB8"/>
    <w:rsid w:val="4DFA2A5E"/>
    <w:rsid w:val="61AF2F50"/>
    <w:rsid w:val="7971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
    <w:basedOn w:val="1"/>
    <w:qFormat/>
    <w:uiPriority w:val="0"/>
    <w:pPr>
      <w:ind w:right="214"/>
      <w:jc w:val="both"/>
      <w:textAlignment w:val="baseline"/>
    </w:pPr>
    <w:rPr>
      <w:rFonts w:ascii="仿宋_GB2312" w:eastAsia="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1407</Words>
  <Characters>1428</Characters>
  <Lines>0</Lines>
  <Paragraphs>0</Paragraphs>
  <TotalTime>48</TotalTime>
  <ScaleCrop>false</ScaleCrop>
  <LinksUpToDate>false</LinksUpToDate>
  <CharactersWithSpaces>1428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2024-11-14T00:28:00Z</dcterms:created>
  <dc:creator>..</dc:creator>
  <cp:lastModifiedBy>..</cp:lastModifiedBy>
  <dcterms:modified xsi:type="dcterms:W3CDTF">2025-01-09T02:08:17Z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078D1C8196BB49AF9350E606279E6AD1_11</vt:lpwstr>
  </property>
  <property fmtid="{D5CDD505-2E9C-101B-9397-08002B2CF9AE}" pid="4" name="KSOTemplateDocerSaveRecord">
    <vt:lpwstr>eyJoZGlkIjoiZjczZWIxYWNiZDU0NWViY2I2ZDU0Njg2NTY5MjViYmMiLCJ1c2VySWQiOiI2NzU1Nzg4MjUifQ==</vt:lpwstr>
  </property>
</Properties>
</file>